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19" w:rsidRDefault="006C0319" w:rsidP="006C0319">
      <w:pPr>
        <w:pStyle w:val="Nadpis1"/>
        <w:spacing w:before="120" w:line="240" w:lineRule="auto"/>
        <w:jc w:val="center"/>
      </w:pPr>
      <w:r>
        <w:t>Programy probíhající na ZŠ s </w:t>
      </w:r>
      <w:proofErr w:type="spellStart"/>
      <w:r>
        <w:t>RvJ</w:t>
      </w:r>
      <w:proofErr w:type="spellEnd"/>
      <w:r>
        <w:t xml:space="preserve"> K Milíčovu ve </w:t>
      </w:r>
      <w:proofErr w:type="spellStart"/>
      <w:r>
        <w:t>šk</w:t>
      </w:r>
      <w:proofErr w:type="spellEnd"/>
      <w:r>
        <w:t>. r. 2017/2018</w:t>
      </w:r>
    </w:p>
    <w:p w:rsidR="006C0319" w:rsidRPr="006C0319" w:rsidRDefault="006C0319" w:rsidP="006C0319">
      <w:pPr>
        <w:pStyle w:val="Nadpis1"/>
        <w:spacing w:before="120" w:line="240" w:lineRule="auto"/>
        <w:jc w:val="center"/>
        <w:rPr>
          <w:sz w:val="24"/>
        </w:rPr>
      </w:pPr>
      <w:r w:rsidRPr="006C0319">
        <w:rPr>
          <w:sz w:val="24"/>
        </w:rPr>
        <w:t>(5. – 9. ročník)</w:t>
      </w:r>
    </w:p>
    <w:tbl>
      <w:tblPr>
        <w:tblStyle w:val="Mkatabulky1"/>
        <w:tblW w:w="0" w:type="auto"/>
        <w:tblInd w:w="-572" w:type="dxa"/>
        <w:tblLook w:val="04A0" w:firstRow="1" w:lastRow="0" w:firstColumn="1" w:lastColumn="0" w:noHBand="0" w:noVBand="1"/>
      </w:tblPr>
      <w:tblGrid>
        <w:gridCol w:w="1001"/>
        <w:gridCol w:w="2161"/>
        <w:gridCol w:w="1981"/>
        <w:gridCol w:w="1562"/>
        <w:gridCol w:w="2410"/>
        <w:gridCol w:w="1843"/>
        <w:gridCol w:w="2911"/>
      </w:tblGrid>
      <w:tr w:rsidR="006C0319" w:rsidRPr="006361E4" w:rsidTr="00D264B4">
        <w:tc>
          <w:tcPr>
            <w:tcW w:w="0" w:type="auto"/>
            <w:shd w:val="clear" w:color="auto" w:fill="FFFF00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  <w:highlight w:val="yellow"/>
              </w:rPr>
            </w:pPr>
            <w:r w:rsidRPr="006361E4">
              <w:rPr>
                <w:rFonts w:ascii="Calibri" w:eastAsia="Calibri" w:hAnsi="Calibri"/>
                <w:b/>
                <w:highlight w:val="yellow"/>
              </w:rPr>
              <w:t>Program</w:t>
            </w:r>
          </w:p>
        </w:tc>
        <w:tc>
          <w:tcPr>
            <w:tcW w:w="2161" w:type="dxa"/>
            <w:shd w:val="clear" w:color="auto" w:fill="FFFF00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  <w:highlight w:val="yellow"/>
              </w:rPr>
            </w:pPr>
            <w:r w:rsidRPr="006361E4">
              <w:rPr>
                <w:rFonts w:ascii="Calibri" w:eastAsia="Calibri" w:hAnsi="Calibri"/>
                <w:b/>
                <w:highlight w:val="yellow"/>
              </w:rPr>
              <w:t>Prak</w:t>
            </w:r>
          </w:p>
        </w:tc>
        <w:tc>
          <w:tcPr>
            <w:tcW w:w="5953" w:type="dxa"/>
            <w:gridSpan w:val="3"/>
            <w:shd w:val="clear" w:color="auto" w:fill="FFFF00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  <w:highlight w:val="yellow"/>
              </w:rPr>
            </w:pPr>
            <w:r w:rsidRPr="006361E4">
              <w:rPr>
                <w:rFonts w:ascii="Calibri" w:eastAsia="Calibri" w:hAnsi="Calibri"/>
                <w:b/>
                <w:highlight w:val="yellow"/>
              </w:rPr>
              <w:t>Městská policie</w:t>
            </w:r>
          </w:p>
        </w:tc>
        <w:tc>
          <w:tcPr>
            <w:tcW w:w="1843" w:type="dxa"/>
            <w:shd w:val="clear" w:color="auto" w:fill="FFFF00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  <w:highlight w:val="yellow"/>
              </w:rPr>
            </w:pPr>
            <w:r w:rsidRPr="006361E4">
              <w:rPr>
                <w:rFonts w:ascii="Calibri" w:eastAsia="Calibri" w:hAnsi="Calibri"/>
                <w:b/>
                <w:highlight w:val="yellow"/>
              </w:rPr>
              <w:t>Prevence prožitkem</w:t>
            </w:r>
          </w:p>
        </w:tc>
        <w:tc>
          <w:tcPr>
            <w:tcW w:w="2911" w:type="dxa"/>
            <w:shd w:val="clear" w:color="auto" w:fill="FFFF00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  <w:highlight w:val="yellow"/>
              </w:rPr>
              <w:t>Specifick</w:t>
            </w:r>
            <w:r>
              <w:rPr>
                <w:rFonts w:ascii="Calibri" w:eastAsia="Calibri" w:hAnsi="Calibri"/>
                <w:b/>
                <w:highlight w:val="yellow"/>
              </w:rPr>
              <w:t>é</w:t>
            </w:r>
            <w:r w:rsidRPr="006361E4">
              <w:rPr>
                <w:rFonts w:ascii="Calibri" w:eastAsia="Calibri" w:hAnsi="Calibri"/>
                <w:b/>
                <w:highlight w:val="yellow"/>
              </w:rPr>
              <w:t xml:space="preserve"> akce</w:t>
            </w: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Třída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Skupina BESIP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SPJ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Bezpečné chování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5.A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Konflikt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Pravidla </w:t>
            </w:r>
            <w:r>
              <w:rPr>
                <w:rFonts w:ascii="Calibri" w:eastAsia="Calibri" w:hAnsi="Calibri"/>
              </w:rPr>
              <w:t>p</w:t>
            </w:r>
            <w:r w:rsidRPr="006361E4">
              <w:rPr>
                <w:rFonts w:ascii="Calibri" w:eastAsia="Calibri" w:hAnsi="Calibri"/>
              </w:rPr>
              <w:t>ohybu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Drogy 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BCH v elektronickém světě I.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Selektivní prevence (Proxima </w:t>
            </w:r>
            <w:proofErr w:type="spellStart"/>
            <w:r w:rsidRPr="006361E4">
              <w:rPr>
                <w:rFonts w:ascii="Calibri" w:eastAsia="Calibri" w:hAnsi="Calibri"/>
              </w:rPr>
              <w:t>Sociale</w:t>
            </w:r>
            <w:proofErr w:type="spellEnd"/>
            <w:r w:rsidRPr="006361E4">
              <w:rPr>
                <w:rFonts w:ascii="Calibri" w:eastAsia="Calibri" w:hAnsi="Calibri"/>
              </w:rPr>
              <w:t>) – únor 2018</w:t>
            </w: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5.B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Konflikt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Pravidla </w:t>
            </w:r>
            <w:r>
              <w:rPr>
                <w:rFonts w:ascii="Calibri" w:eastAsia="Calibri" w:hAnsi="Calibri"/>
              </w:rPr>
              <w:t>p</w:t>
            </w:r>
            <w:r w:rsidRPr="006361E4">
              <w:rPr>
                <w:rFonts w:ascii="Calibri" w:eastAsia="Calibri" w:hAnsi="Calibri"/>
              </w:rPr>
              <w:t>ohybu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Drogy 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BCH v elektronickém světě I.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5.C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Konflikt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Pravidla </w:t>
            </w:r>
            <w:r>
              <w:rPr>
                <w:rFonts w:ascii="Calibri" w:eastAsia="Calibri" w:hAnsi="Calibri"/>
              </w:rPr>
              <w:t>p</w:t>
            </w:r>
            <w:r w:rsidRPr="006361E4">
              <w:rPr>
                <w:rFonts w:ascii="Calibri" w:eastAsia="Calibri" w:hAnsi="Calibri"/>
              </w:rPr>
              <w:t>ohybu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Drogy 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BCH v elektronickém světě I.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Selektivní prevence (Proxima </w:t>
            </w:r>
            <w:proofErr w:type="spellStart"/>
            <w:r w:rsidRPr="006361E4">
              <w:rPr>
                <w:rFonts w:ascii="Calibri" w:eastAsia="Calibri" w:hAnsi="Calibri"/>
              </w:rPr>
              <w:t>Sociale</w:t>
            </w:r>
            <w:proofErr w:type="spellEnd"/>
            <w:r w:rsidRPr="006361E4">
              <w:rPr>
                <w:rFonts w:ascii="Calibri" w:eastAsia="Calibri" w:hAnsi="Calibri"/>
              </w:rPr>
              <w:t>) – únor 2018</w:t>
            </w: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5.D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Konflikt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Pravidla </w:t>
            </w:r>
            <w:r>
              <w:rPr>
                <w:rFonts w:ascii="Calibri" w:eastAsia="Calibri" w:hAnsi="Calibri"/>
              </w:rPr>
              <w:t>p</w:t>
            </w:r>
            <w:r w:rsidRPr="006361E4">
              <w:rPr>
                <w:rFonts w:ascii="Calibri" w:eastAsia="Calibri" w:hAnsi="Calibri"/>
              </w:rPr>
              <w:t>ohybu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Drogy 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BCH v elektronickém světě I.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6.A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Konflikt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Šikana a násilí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BCH v elektronickém světě II.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6.B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Šikana a násilí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BCH v elektronickém světě II.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6.C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Šikana a násilí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BCH v elektronickém světě II.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6.D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Šikana a násilí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BCH v elektronickém světě II.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-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7.A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Média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Kriminalita dětí 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Kyberšikana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5F3C1F">
              <w:rPr>
                <w:rFonts w:ascii="Calibri" w:eastAsia="Calibri" w:hAnsi="Calibri"/>
              </w:rPr>
              <w:t>Chci to tak?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7.B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Kriminalita dětí 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Kyberšikana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5F3C1F">
              <w:rPr>
                <w:rFonts w:ascii="Calibri" w:eastAsia="Calibri" w:hAnsi="Calibri"/>
              </w:rPr>
              <w:t>Chci to tak?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7.C</w:t>
            </w:r>
          </w:p>
          <w:p w:rsidR="006C0319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</w:p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Kriminalita dětí 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Kyberšikana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0F056E">
              <w:rPr>
                <w:rFonts w:ascii="Calibri" w:eastAsia="Calibri" w:hAnsi="Calibri"/>
              </w:rPr>
              <w:t>Nekecej a hraj</w:t>
            </w:r>
            <w:r>
              <w:rPr>
                <w:rFonts w:ascii="Calibri" w:eastAsia="Calibri" w:hAnsi="Calibri"/>
              </w:rPr>
              <w:t>!</w:t>
            </w: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8.A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Drogy II.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Partnerské násilí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Selektivní prevence</w:t>
            </w:r>
          </w:p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(Proxima </w:t>
            </w:r>
            <w:proofErr w:type="spellStart"/>
            <w:r w:rsidRPr="006361E4">
              <w:rPr>
                <w:rFonts w:ascii="Calibri" w:eastAsia="Calibri" w:hAnsi="Calibri"/>
              </w:rPr>
              <w:t>Sociale</w:t>
            </w:r>
            <w:proofErr w:type="spellEnd"/>
            <w:r w:rsidRPr="006361E4">
              <w:rPr>
                <w:rFonts w:ascii="Calibri" w:eastAsia="Calibri" w:hAnsi="Calibri"/>
              </w:rPr>
              <w:t>) - říjen 2017</w:t>
            </w: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8.B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Drogy II.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Partnerské násilí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8.C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Drogy II.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Partnerské násilí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9.A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Právní vědomí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Bezpečné </w:t>
            </w:r>
            <w:r>
              <w:rPr>
                <w:rFonts w:ascii="Calibri" w:eastAsia="Calibri" w:hAnsi="Calibri"/>
              </w:rPr>
              <w:t>dospívání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9.B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Právní vědomí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Bezpečné </w:t>
            </w:r>
            <w:r>
              <w:rPr>
                <w:rFonts w:ascii="Calibri" w:eastAsia="Calibri" w:hAnsi="Calibri"/>
              </w:rPr>
              <w:t>dospívání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  <w:tr w:rsidR="006C0319" w:rsidRPr="006361E4" w:rsidTr="00D264B4">
        <w:tc>
          <w:tcPr>
            <w:tcW w:w="0" w:type="auto"/>
            <w:shd w:val="clear" w:color="auto" w:fill="B4C6E7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  <w:b/>
              </w:rPr>
            </w:pPr>
            <w:r w:rsidRPr="006361E4">
              <w:rPr>
                <w:rFonts w:ascii="Calibri" w:eastAsia="Calibri" w:hAnsi="Calibri"/>
                <w:b/>
              </w:rPr>
              <w:t>9.C</w:t>
            </w:r>
          </w:p>
        </w:tc>
        <w:tc>
          <w:tcPr>
            <w:tcW w:w="216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Komunikační fauly</w:t>
            </w:r>
          </w:p>
        </w:tc>
        <w:tc>
          <w:tcPr>
            <w:tcW w:w="198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-</w:t>
            </w:r>
          </w:p>
        </w:tc>
        <w:tc>
          <w:tcPr>
            <w:tcW w:w="1562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>Právní vědomí</w:t>
            </w:r>
          </w:p>
        </w:tc>
        <w:tc>
          <w:tcPr>
            <w:tcW w:w="2410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  <w:r w:rsidRPr="006361E4">
              <w:rPr>
                <w:rFonts w:ascii="Calibri" w:eastAsia="Calibri" w:hAnsi="Calibri"/>
              </w:rPr>
              <w:t xml:space="preserve">Bezpečné </w:t>
            </w:r>
            <w:r>
              <w:rPr>
                <w:rFonts w:ascii="Calibri" w:eastAsia="Calibri" w:hAnsi="Calibri"/>
              </w:rPr>
              <w:t>dospívání</w:t>
            </w:r>
          </w:p>
        </w:tc>
        <w:tc>
          <w:tcPr>
            <w:tcW w:w="1843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  <w:tc>
          <w:tcPr>
            <w:tcW w:w="2911" w:type="dxa"/>
          </w:tcPr>
          <w:p w:rsidR="006C0319" w:rsidRPr="006361E4" w:rsidRDefault="006C0319" w:rsidP="00D264B4">
            <w:pPr>
              <w:ind w:left="426" w:hanging="425"/>
              <w:rPr>
                <w:rFonts w:ascii="Calibri" w:eastAsia="Calibri" w:hAnsi="Calibri"/>
              </w:rPr>
            </w:pPr>
          </w:p>
        </w:tc>
      </w:tr>
    </w:tbl>
    <w:p w:rsidR="0012093F" w:rsidRDefault="0012093F" w:rsidP="006C0319">
      <w:pPr>
        <w:spacing w:after="200" w:line="276" w:lineRule="auto"/>
        <w:ind w:left="426" w:hanging="425"/>
      </w:pPr>
    </w:p>
    <w:p w:rsidR="000736A5" w:rsidRDefault="0012093F" w:rsidP="006C0319">
      <w:pPr>
        <w:spacing w:after="200" w:line="276" w:lineRule="auto"/>
        <w:ind w:left="426" w:hanging="425"/>
      </w:pPr>
      <w:r>
        <w:t>Podrobné informace k jednotlivým programům najdete ve Školním preventivním programu.</w:t>
      </w:r>
      <w:bookmarkStart w:id="0" w:name="_GoBack"/>
      <w:bookmarkEnd w:id="0"/>
    </w:p>
    <w:sectPr w:rsidR="000736A5" w:rsidSect="006C0319">
      <w:pgSz w:w="16838" w:h="11906" w:orient="landscape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19"/>
    <w:rsid w:val="00004FAD"/>
    <w:rsid w:val="0012093F"/>
    <w:rsid w:val="00593140"/>
    <w:rsid w:val="006C0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C02D6"/>
  <w15:chartTrackingRefBased/>
  <w15:docId w15:val="{83E78C32-5F19-42E8-A48C-5A6D159A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C031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C03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C03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6C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katabulky">
    <w:name w:val="Table Grid"/>
    <w:basedOn w:val="Normlntabulka"/>
    <w:uiPriority w:val="39"/>
    <w:rsid w:val="006C03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6C03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C031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Mejdřická</dc:creator>
  <cp:keywords/>
  <dc:description/>
  <cp:lastModifiedBy>Lenka Mejdřická</cp:lastModifiedBy>
  <cp:revision>2</cp:revision>
  <dcterms:created xsi:type="dcterms:W3CDTF">2018-01-10T12:36:00Z</dcterms:created>
  <dcterms:modified xsi:type="dcterms:W3CDTF">2018-03-06T09:05:00Z</dcterms:modified>
</cp:coreProperties>
</file>